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640" w:type="dxa"/>
        <w:tblInd w:w="108" w:type="dxa"/>
        <w:shd w:val="clear" w:color="auto" w:fill="FFFFFF"/>
        <w:tblCellMar>
          <w:left w:w="0" w:type="dxa"/>
          <w:right w:w="0" w:type="dxa"/>
        </w:tblCellMar>
        <w:tblLook w:val="04A0"/>
      </w:tblPr>
      <w:tblGrid>
        <w:gridCol w:w="2833"/>
        <w:gridCol w:w="5807"/>
      </w:tblGrid>
      <w:tr w:rsidR="006741D9" w:rsidRPr="006741D9" w:rsidTr="006741D9">
        <w:trPr>
          <w:trHeight w:val="993"/>
        </w:trPr>
        <w:tc>
          <w:tcPr>
            <w:tcW w:w="2835" w:type="dxa"/>
            <w:shd w:val="clear" w:color="auto" w:fill="FFFFFF"/>
            <w:tcMar>
              <w:top w:w="0" w:type="dxa"/>
              <w:left w:w="108" w:type="dxa"/>
              <w:bottom w:w="0" w:type="dxa"/>
              <w:right w:w="108" w:type="dxa"/>
            </w:tcMar>
            <w:hideMark/>
          </w:tcPr>
          <w:p w:rsidR="006741D9" w:rsidRPr="006741D9" w:rsidRDefault="006741D9" w:rsidP="006741D9">
            <w:pPr>
              <w:keepNext/>
              <w:spacing w:after="0" w:line="384" w:lineRule="atLeast"/>
              <w:jc w:val="center"/>
              <w:outlineLvl w:val="0"/>
              <w:rPr>
                <w:rFonts w:ascii="Times New Roman" w:eastAsia="Times New Roman" w:hAnsi="Times New Roman" w:cs="Times New Roman"/>
                <w:b/>
                <w:bCs/>
                <w:color w:val="000000"/>
                <w:kern w:val="36"/>
                <w:sz w:val="32"/>
                <w:szCs w:val="32"/>
              </w:rPr>
            </w:pPr>
            <w:r w:rsidRPr="006741D9">
              <w:rPr>
                <w:rFonts w:ascii="Arial" w:eastAsia="Times New Roman" w:hAnsi="Arial" w:cs="Arial"/>
                <w:b/>
                <w:bCs/>
                <w:color w:val="000000"/>
                <w:spacing w:val="-10"/>
                <w:kern w:val="36"/>
                <w:sz w:val="20"/>
                <w:szCs w:val="20"/>
              </w:rPr>
              <w:t>BỘ TÀI CHÍNH</w:t>
            </w:r>
          </w:p>
          <w:p w:rsidR="006741D9" w:rsidRPr="006741D9" w:rsidRDefault="006741D9" w:rsidP="006741D9">
            <w:pPr>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t> </w:t>
            </w:r>
          </w:p>
          <w:p w:rsidR="006741D9" w:rsidRPr="006741D9" w:rsidRDefault="006741D9" w:rsidP="006741D9">
            <w:pPr>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t> </w:t>
            </w:r>
          </w:p>
          <w:p w:rsidR="006741D9" w:rsidRPr="006741D9" w:rsidRDefault="006741D9" w:rsidP="006741D9">
            <w:pPr>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t>Số:      /2015/TT-BTC</w:t>
            </w:r>
          </w:p>
        </w:tc>
        <w:tc>
          <w:tcPr>
            <w:tcW w:w="5812" w:type="dxa"/>
            <w:shd w:val="clear" w:color="auto" w:fill="FFFFFF"/>
            <w:tcMar>
              <w:top w:w="0" w:type="dxa"/>
              <w:left w:w="108" w:type="dxa"/>
              <w:bottom w:w="0" w:type="dxa"/>
              <w:right w:w="108" w:type="dxa"/>
            </w:tcMar>
            <w:hideMark/>
          </w:tcPr>
          <w:p w:rsidR="006741D9" w:rsidRPr="006741D9" w:rsidRDefault="006741D9" w:rsidP="006741D9">
            <w:pPr>
              <w:keepNext/>
              <w:spacing w:after="0" w:line="240" w:lineRule="auto"/>
              <w:jc w:val="center"/>
              <w:outlineLvl w:val="1"/>
              <w:rPr>
                <w:rFonts w:ascii="Arial" w:eastAsia="Times New Roman" w:hAnsi="Arial" w:cs="Arial"/>
                <w:b/>
                <w:bCs/>
                <w:i/>
                <w:iCs/>
                <w:color w:val="000000"/>
                <w:sz w:val="20"/>
                <w:szCs w:val="20"/>
              </w:rPr>
            </w:pPr>
            <w:r w:rsidRPr="006741D9">
              <w:rPr>
                <w:rFonts w:ascii="Arial" w:eastAsia="Times New Roman" w:hAnsi="Arial" w:cs="Arial"/>
                <w:b/>
                <w:bCs/>
                <w:color w:val="000000"/>
                <w:spacing w:val="-10"/>
                <w:sz w:val="20"/>
                <w:szCs w:val="20"/>
              </w:rPr>
              <w:t>CỘNG HOÀ XÃ HỘI CHỦ NGHĨA VIỆT NAM</w:t>
            </w:r>
          </w:p>
          <w:p w:rsidR="006741D9" w:rsidRPr="006741D9" w:rsidRDefault="006741D9" w:rsidP="006741D9">
            <w:pPr>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rPr>
              <w:t>Độc lập - Tự do - Hạnh phúc</w:t>
            </w:r>
          </w:p>
          <w:p w:rsidR="006741D9" w:rsidRPr="006741D9" w:rsidRDefault="006741D9" w:rsidP="006741D9">
            <w:pPr>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rPr>
              <w:t> </w:t>
            </w:r>
          </w:p>
          <w:p w:rsidR="006741D9" w:rsidRPr="006741D9" w:rsidRDefault="006741D9" w:rsidP="006741D9">
            <w:pPr>
              <w:keepNext/>
              <w:spacing w:after="0" w:line="240" w:lineRule="auto"/>
              <w:jc w:val="center"/>
              <w:outlineLvl w:val="2"/>
              <w:rPr>
                <w:rFonts w:ascii="Arial" w:eastAsia="Times New Roman" w:hAnsi="Arial" w:cs="Arial"/>
                <w:b/>
                <w:bCs/>
                <w:color w:val="008DCE"/>
                <w:sz w:val="23"/>
                <w:szCs w:val="23"/>
              </w:rPr>
            </w:pPr>
            <w:r w:rsidRPr="006741D9">
              <w:rPr>
                <w:rFonts w:ascii="Arial" w:eastAsia="Times New Roman" w:hAnsi="Arial" w:cs="Arial"/>
                <w:i/>
                <w:iCs/>
                <w:color w:val="008DCE"/>
                <w:sz w:val="20"/>
                <w:szCs w:val="20"/>
              </w:rPr>
              <w:t>Hà Nội, ngày   tháng     năm 2015</w:t>
            </w:r>
          </w:p>
        </w:tc>
      </w:tr>
    </w:tbl>
    <w:p w:rsidR="006741D9" w:rsidRPr="006741D9" w:rsidRDefault="006741D9" w:rsidP="006741D9">
      <w:pPr>
        <w:shd w:val="clear" w:color="auto" w:fill="FFFFFF"/>
        <w:spacing w:after="0" w:line="240" w:lineRule="auto"/>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rPr>
        <w:t> </w:t>
      </w:r>
    </w:p>
    <w:p w:rsidR="006741D9" w:rsidRPr="006741D9" w:rsidRDefault="006741D9" w:rsidP="006741D9">
      <w:pPr>
        <w:keepNext/>
        <w:shd w:val="clear" w:color="auto" w:fill="FFFFFF"/>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pacing w:val="28"/>
          <w:sz w:val="20"/>
          <w:szCs w:val="20"/>
        </w:rPr>
        <w:t> </w:t>
      </w:r>
    </w:p>
    <w:p w:rsidR="006741D9" w:rsidRPr="006741D9" w:rsidRDefault="006741D9" w:rsidP="006741D9">
      <w:pPr>
        <w:keepNext/>
        <w:shd w:val="clear" w:color="auto" w:fill="FFFFFF"/>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pacing w:val="28"/>
          <w:sz w:val="20"/>
          <w:szCs w:val="20"/>
        </w:rPr>
        <w:t> </w:t>
      </w:r>
    </w:p>
    <w:p w:rsidR="006741D9" w:rsidRPr="006741D9" w:rsidRDefault="006741D9" w:rsidP="006741D9">
      <w:pPr>
        <w:keepNext/>
        <w:shd w:val="clear" w:color="auto" w:fill="FFFFFF"/>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pacing w:val="28"/>
          <w:sz w:val="20"/>
          <w:szCs w:val="20"/>
        </w:rPr>
        <w:t>THÔNG TƯ</w:t>
      </w:r>
    </w:p>
    <w:p w:rsidR="006741D9" w:rsidRPr="006741D9" w:rsidRDefault="006741D9" w:rsidP="006741D9">
      <w:pPr>
        <w:keepNext/>
        <w:shd w:val="clear" w:color="auto" w:fill="FFFFFF"/>
        <w:spacing w:after="0" w:line="240" w:lineRule="auto"/>
        <w:jc w:val="center"/>
        <w:outlineLvl w:val="0"/>
        <w:rPr>
          <w:rFonts w:ascii="Times New Roman" w:eastAsia="Times New Roman" w:hAnsi="Times New Roman" w:cs="Times New Roman"/>
          <w:b/>
          <w:bCs/>
          <w:color w:val="000000"/>
          <w:kern w:val="36"/>
          <w:sz w:val="32"/>
          <w:szCs w:val="32"/>
        </w:rPr>
      </w:pPr>
      <w:r w:rsidRPr="006741D9">
        <w:rPr>
          <w:rFonts w:ascii="Arial" w:eastAsia="Times New Roman" w:hAnsi="Arial" w:cs="Arial"/>
          <w:b/>
          <w:bCs/>
          <w:color w:val="000000"/>
          <w:kern w:val="36"/>
          <w:sz w:val="20"/>
          <w:szCs w:val="20"/>
          <w:lang/>
        </w:rPr>
        <w:t>Hướng dẫn</w:t>
      </w:r>
      <w:r w:rsidRPr="006741D9">
        <w:rPr>
          <w:rFonts w:ascii="Arial" w:eastAsia="Times New Roman" w:hAnsi="Arial" w:cs="Arial"/>
          <w:b/>
          <w:bCs/>
          <w:color w:val="000000"/>
          <w:kern w:val="36"/>
          <w:sz w:val="20"/>
          <w:lang/>
        </w:rPr>
        <w:t> </w:t>
      </w:r>
      <w:r w:rsidRPr="006741D9">
        <w:rPr>
          <w:rFonts w:ascii="Arial" w:eastAsia="Times New Roman" w:hAnsi="Arial" w:cs="Arial"/>
          <w:b/>
          <w:bCs/>
          <w:color w:val="000000"/>
          <w:kern w:val="36"/>
          <w:sz w:val="20"/>
          <w:szCs w:val="20"/>
        </w:rPr>
        <w:t>bán đấu giá cổ phần theo lô</w:t>
      </w:r>
    </w:p>
    <w:p w:rsidR="006741D9" w:rsidRPr="006741D9" w:rsidRDefault="006741D9" w:rsidP="006741D9">
      <w:pPr>
        <w:shd w:val="clear" w:color="auto" w:fill="FFFFFF"/>
        <w:spacing w:before="120" w:after="120" w:line="264"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60" w:after="60" w:line="198" w:lineRule="atLeast"/>
        <w:jc w:val="both"/>
        <w:rPr>
          <w:rFonts w:ascii="Arial" w:eastAsia="Times New Roman" w:hAnsi="Arial" w:cs="Arial"/>
          <w:color w:val="000000"/>
          <w:sz w:val="18"/>
          <w:szCs w:val="18"/>
        </w:rPr>
      </w:pPr>
      <w:r w:rsidRPr="006741D9">
        <w:rPr>
          <w:rFonts w:ascii="Arial" w:eastAsia="Times New Roman" w:hAnsi="Arial" w:cs="Arial"/>
          <w:i/>
          <w:iCs/>
          <w:color w:val="000000"/>
          <w:sz w:val="20"/>
          <w:szCs w:val="20"/>
          <w:lang w:val="nl-NL"/>
        </w:rPr>
        <w:t>          Căn cứ Nghị định số 215/2013/NĐ-CP ngày 23/12/2013 của Chính phủ về qui định chức năng, nhiệm vụ, quyền hạn và cơ cấu tổ chức Bộ Tài chính;</w:t>
      </w:r>
    </w:p>
    <w:p w:rsidR="006741D9" w:rsidRPr="006741D9" w:rsidRDefault="006741D9" w:rsidP="006741D9">
      <w:pPr>
        <w:shd w:val="clear" w:color="auto" w:fill="FFFFFF"/>
        <w:spacing w:before="60" w:after="60" w:line="198" w:lineRule="atLeast"/>
        <w:jc w:val="both"/>
        <w:rPr>
          <w:rFonts w:ascii="Arial" w:eastAsia="Times New Roman" w:hAnsi="Arial" w:cs="Arial"/>
          <w:color w:val="000000"/>
          <w:sz w:val="18"/>
          <w:szCs w:val="18"/>
        </w:rPr>
      </w:pPr>
      <w:r w:rsidRPr="006741D9">
        <w:rPr>
          <w:rFonts w:ascii="Arial" w:eastAsia="Times New Roman" w:hAnsi="Arial" w:cs="Arial"/>
          <w:i/>
          <w:iCs/>
          <w:color w:val="000000"/>
          <w:sz w:val="20"/>
          <w:szCs w:val="20"/>
        </w:rPr>
        <w:t>          Căn cứ Nghị định số 71/2013/NĐ-CP ngày 11/7/2013 của Chính phủ về đầu tư vốn nhà nước vào doanh nghiệp và quản lý tài chính đối với doanh nghiệp do Nhà nước nắm giữ 100% vốn điều lệ;</w:t>
      </w:r>
    </w:p>
    <w:p w:rsidR="006741D9" w:rsidRPr="006741D9" w:rsidRDefault="006741D9" w:rsidP="006741D9">
      <w:pPr>
        <w:shd w:val="clear" w:color="auto" w:fill="FFFFFF"/>
        <w:spacing w:before="60" w:after="60" w:line="198" w:lineRule="atLeast"/>
        <w:jc w:val="both"/>
        <w:rPr>
          <w:rFonts w:ascii="Arial" w:eastAsia="Times New Roman" w:hAnsi="Arial" w:cs="Arial"/>
          <w:color w:val="000000"/>
          <w:sz w:val="18"/>
          <w:szCs w:val="18"/>
        </w:rPr>
      </w:pPr>
      <w:r w:rsidRPr="006741D9">
        <w:rPr>
          <w:rFonts w:ascii="Arial" w:eastAsia="Times New Roman" w:hAnsi="Arial" w:cs="Arial"/>
          <w:i/>
          <w:iCs/>
          <w:color w:val="000000"/>
          <w:sz w:val="20"/>
          <w:szCs w:val="20"/>
        </w:rPr>
        <w:t>          Căn cứ Quyết định số 51/2014/QĐ-TTg ngày 15/9/2014 của Thủ tướng Chính phủ về thoái vốn, bán cổ phần và đăng ký giao dịch, niêm yết trên thị trường chứng khoán của doanh nghiệp nhà nước;</w:t>
      </w:r>
    </w:p>
    <w:p w:rsidR="006741D9" w:rsidRPr="006741D9" w:rsidRDefault="006741D9" w:rsidP="006741D9">
      <w:pPr>
        <w:shd w:val="clear" w:color="auto" w:fill="FFFFFF"/>
        <w:spacing w:before="60" w:after="60" w:line="198" w:lineRule="atLeast"/>
        <w:ind w:left="720"/>
        <w:jc w:val="both"/>
        <w:rPr>
          <w:rFonts w:ascii="Arial" w:eastAsia="Times New Roman" w:hAnsi="Arial" w:cs="Arial"/>
          <w:color w:val="000000"/>
          <w:sz w:val="18"/>
          <w:szCs w:val="18"/>
        </w:rPr>
      </w:pPr>
      <w:r w:rsidRPr="006741D9">
        <w:rPr>
          <w:rFonts w:ascii="Arial" w:eastAsia="Times New Roman" w:hAnsi="Arial" w:cs="Arial"/>
          <w:i/>
          <w:iCs/>
          <w:color w:val="000000"/>
          <w:sz w:val="20"/>
          <w:szCs w:val="20"/>
        </w:rPr>
        <w:t>      </w:t>
      </w:r>
      <w:r w:rsidRPr="006741D9">
        <w:rPr>
          <w:rFonts w:ascii="Arial" w:eastAsia="Times New Roman" w:hAnsi="Arial" w:cs="Arial"/>
          <w:i/>
          <w:iCs/>
          <w:color w:val="000000"/>
          <w:sz w:val="20"/>
        </w:rPr>
        <w:t> </w:t>
      </w:r>
      <w:r w:rsidRPr="006741D9">
        <w:rPr>
          <w:rFonts w:ascii="Arial" w:eastAsia="Times New Roman" w:hAnsi="Arial" w:cs="Arial"/>
          <w:i/>
          <w:iCs/>
          <w:color w:val="000000"/>
          <w:sz w:val="20"/>
          <w:szCs w:val="20"/>
          <w:lang w:val="nl-NL"/>
        </w:rPr>
        <w:t>Thực hiện chỉ đạo của Thủ tướng Chính phủ tại công văn số......ngày..../.../2015 về việc......; T</w:t>
      </w:r>
      <w:r w:rsidRPr="006741D9">
        <w:rPr>
          <w:rFonts w:ascii="Arial" w:eastAsia="Times New Roman" w:hAnsi="Arial" w:cs="Arial"/>
          <w:i/>
          <w:iCs/>
          <w:color w:val="000000"/>
          <w:sz w:val="20"/>
          <w:szCs w:val="20"/>
        </w:rPr>
        <w:t>heo đề nghị của Cục trưởng Cục Tài chính doanh nghiệp,</w:t>
      </w:r>
    </w:p>
    <w:p w:rsidR="006741D9" w:rsidRPr="006741D9" w:rsidRDefault="006741D9" w:rsidP="006741D9">
      <w:pPr>
        <w:shd w:val="clear" w:color="auto" w:fill="FFFFFF"/>
        <w:spacing w:before="60" w:after="60" w:line="264"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i/>
          <w:iCs/>
          <w:color w:val="000000"/>
          <w:sz w:val="20"/>
          <w:szCs w:val="20"/>
        </w:rPr>
        <w:t>Bộ trưởng Bộ Tài chính ban hành Thông tư hướng dẫn</w:t>
      </w:r>
      <w:r w:rsidRPr="006741D9">
        <w:rPr>
          <w:rFonts w:ascii="Arial" w:eastAsia="Times New Roman" w:hAnsi="Arial" w:cs="Arial"/>
          <w:i/>
          <w:iCs/>
          <w:color w:val="000000"/>
          <w:sz w:val="20"/>
        </w:rPr>
        <w:t> </w:t>
      </w:r>
      <w:r w:rsidRPr="006741D9">
        <w:rPr>
          <w:rFonts w:ascii="Arial" w:eastAsia="Times New Roman" w:hAnsi="Arial" w:cs="Arial"/>
          <w:i/>
          <w:iCs/>
          <w:color w:val="000000"/>
          <w:sz w:val="20"/>
          <w:szCs w:val="20"/>
          <w:lang w:val="nl-NL"/>
        </w:rPr>
        <w:t>bán đấu giá cổ phần theo lô,</w:t>
      </w:r>
    </w:p>
    <w:p w:rsidR="006741D9" w:rsidRPr="006741D9" w:rsidRDefault="006741D9" w:rsidP="006741D9">
      <w:pPr>
        <w:shd w:val="clear" w:color="auto" w:fill="FFFFFF"/>
        <w:spacing w:before="60" w:after="60" w:line="264"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i/>
          <w:iCs/>
          <w:color w:val="000000"/>
          <w:sz w:val="20"/>
          <w:szCs w:val="20"/>
        </w:rPr>
        <w:t> </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Chương I</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QUY ĐỊNH CHUNG</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1. Phạm vi điều chỉnh</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t>1.</w:t>
      </w:r>
      <w:r w:rsidRPr="006741D9">
        <w:rPr>
          <w:rFonts w:ascii="Times New Roman" w:eastAsia="Times New Roman" w:hAnsi="Times New Roman" w:cs="Times New Roman"/>
          <w:color w:val="000000"/>
          <w:sz w:val="14"/>
          <w:szCs w:val="14"/>
        </w:rPr>
        <w:t>  </w:t>
      </w:r>
      <w:r w:rsidRPr="006741D9">
        <w:rPr>
          <w:rFonts w:ascii="Times New Roman" w:eastAsia="Times New Roman" w:hAnsi="Times New Roman" w:cs="Times New Roman"/>
          <w:color w:val="000000"/>
          <w:sz w:val="14"/>
        </w:rPr>
        <w:t> </w:t>
      </w:r>
      <w:r w:rsidRPr="006741D9">
        <w:rPr>
          <w:rFonts w:ascii="Arial" w:eastAsia="Times New Roman" w:hAnsi="Arial" w:cs="Arial"/>
          <w:color w:val="000000"/>
          <w:sz w:val="20"/>
          <w:szCs w:val="20"/>
          <w:lang w:val="nl-NL"/>
        </w:rPr>
        <w:t>Thông tư này hướng dẫn việc</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bán đấu giá cổ phần theo lô tại công ty cổ phần</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chưa niêm yết hoặc chưa đăng ký giao dịch trên sàn giao dịch Upcom có vốn nhà nước do các Bộ, cơ quan ngang Bộ, cơ quan thuộc Chính phủ (sau đây gọi tắt là Bộ quản lý ngành), Ủy ban nhân dân các tỉnh, thành phố trực thuộc Trung ương (sau đây gọi tắt là Ủy ban nhân dân cấp tỉnh) là đại diện chủ sở hữu hoặc có vốn góp của doanh nghiệp do Nhà nước sở hữu 100% vốn điều lệ.</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t>2.</w:t>
      </w:r>
      <w:r w:rsidRPr="006741D9">
        <w:rPr>
          <w:rFonts w:ascii="Times New Roman" w:eastAsia="Times New Roman" w:hAnsi="Times New Roman" w:cs="Times New Roman"/>
          <w:color w:val="000000"/>
          <w:sz w:val="14"/>
          <w:szCs w:val="14"/>
        </w:rPr>
        <w:t>  </w:t>
      </w:r>
      <w:r w:rsidRPr="006741D9">
        <w:rPr>
          <w:rFonts w:ascii="Times New Roman" w:eastAsia="Times New Roman" w:hAnsi="Times New Roman" w:cs="Times New Roman"/>
          <w:color w:val="000000"/>
          <w:sz w:val="14"/>
        </w:rPr>
        <w:t> </w:t>
      </w:r>
      <w:r w:rsidRPr="006741D9">
        <w:rPr>
          <w:rFonts w:ascii="Arial" w:eastAsia="Times New Roman" w:hAnsi="Arial" w:cs="Arial"/>
          <w:color w:val="000000"/>
          <w:sz w:val="20"/>
          <w:szCs w:val="20"/>
        </w:rPr>
        <w:t>Tổng công ty đầu tư và kinh doanh vốn nhà nước thực hiện bán cổ phần theo lô theo quy định tại Nghị định 151/2013/NĐ-CP ngày 01/11/2013 và các văn bản quy phạm pháp luật có liên quan.</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2. Đối tượng áp dụng</w:t>
      </w:r>
    </w:p>
    <w:p w:rsidR="006741D9" w:rsidRPr="006741D9" w:rsidRDefault="006741D9" w:rsidP="006741D9">
      <w:pPr>
        <w:shd w:val="clear" w:color="auto" w:fill="FFFFFF"/>
        <w:spacing w:before="120" w:after="120" w:line="207" w:lineRule="atLeast"/>
        <w:ind w:firstLine="709"/>
        <w:jc w:val="both"/>
        <w:rPr>
          <w:rFonts w:ascii="Arial" w:eastAsia="Times New Roman" w:hAnsi="Arial" w:cs="Arial"/>
          <w:color w:val="000000"/>
          <w:sz w:val="18"/>
          <w:szCs w:val="18"/>
        </w:rPr>
      </w:pPr>
      <w:r w:rsidRPr="006741D9">
        <w:rPr>
          <w:rFonts w:ascii="Arial" w:eastAsia="Times New Roman" w:hAnsi="Arial" w:cs="Arial"/>
          <w:color w:val="000000"/>
          <w:sz w:val="20"/>
          <w:szCs w:val="20"/>
          <w:lang w:val="nl-NL"/>
        </w:rPr>
        <w:t>            1. Các Bộ quản lý ngành, Ủy ban nhân dân cấp tỉnh là đại diện chủ sở hữu vốn nhà nước tại các công ty cổ phần.</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2. Công ty trách nhiệm hữu hạn một thành viên do Nhà nước nắm giữ 100% vốn điều lệ được Thủ tướng Chính phủ quyết định thành lập hoặc Bộ quản lý ngành, Ủy ban nhân dân cấp tỉnh quyết định thành lập, bao gồm:</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a) Công ty trách nhiệm hữu hạn một thành viên là công ty mẹ của các tập đoàn kinh tế; công ty mẹ của tổng công ty nhà nước; công ty mẹ trong mô hình công ty mẹ - công ty con (sau đây gọi là công ty mẹ);</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b) Công ty trách nhiệm hữu hạn một thành viên độc lập.</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3. Người đại diện phần vốn nhà nước đầu tư tại công ty cổ phần và Người đại diện theo ủy quyền tại doanh nghiệp do Nhà nước nắm giữ 100% vốn điều lệ (sau đây gọi tắt là người đại diện).</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lastRenderedPageBreak/>
        <w:t>Điều 3. Giải thích từ ngữ</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1. “</w:t>
      </w:r>
      <w:r w:rsidRPr="006741D9">
        <w:rPr>
          <w:rFonts w:ascii="Arial" w:eastAsia="Times New Roman" w:hAnsi="Arial" w:cs="Arial"/>
          <w:color w:val="000000"/>
          <w:sz w:val="20"/>
          <w:szCs w:val="20"/>
        </w:rPr>
        <w:t>Bán đấu giá cổ phần theo lô</w:t>
      </w:r>
      <w:r w:rsidRPr="006741D9">
        <w:rPr>
          <w:rFonts w:ascii="Arial" w:eastAsia="Times New Roman" w:hAnsi="Arial" w:cs="Arial"/>
          <w:color w:val="000000"/>
          <w:sz w:val="20"/>
          <w:szCs w:val="20"/>
          <w:lang w:val="nl-NL"/>
        </w:rPr>
        <w:t>” là</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việc thực hiện bán cổ phần tại</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công ty cổ phần</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quy định tại Điều 1 Thông tư này theo hình thức bán đấu giá</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công khai cho các nhà đầu tư, trong đó mỗi nhà đầu tư phải đăng ký mua toàn bộ số cổ phần chào bán theo lô.</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2. “Tiền đặt cọc” là một khoản tiền của nhà đầu tư ứng trước để đảm bảo quyền mua cổ phần.</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3. “Đấu giá không thành công” là cuộc đấu giá không có nhà đầu tư đăng ký tham gia đấu giá hoặc chỉ có một nhà đầu tư đăng ký tham gia đấu giá hoặc nhà đầu tư đấu giá thành công nhưng từ chối thanh toán tiền mua cổ phần.</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Chương II</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QUY ĐỊNH CỤ THỂ</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4. Nguyên tắc chung</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1. Việc bán cổ phần theo lô thực hiện trên cơ sở phù hợp với Đề án tái cơ cấu đã được cấp có thẩm quyền phê duyệt và tiêu chí, danh mục phân loại doanh nghiệp nhà nước do Thủ tướng Chính phủ quyết định theo từng thời kỳ.</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2. Các Bộ quản lý ngành, Ủy ban nhân dân cấp tỉnh, các công ty mẹ, công ty trách nhiệm hạn một thành viên độc lập thực hiện bán cổ phần theo lô theo quy định tại Thông tư này và các quy định khác có liên quan của Nhà nước đối với hoạt động thoái vốn nhà nước và vốn đầu tư của doanh nghiệp do nhà nước nắm giữ 100% vốn điều lệ tại doanh nghiệp khác trên nguyên tắc đảm bảo công khai, minh bạch và phù hợp với điều lệ tổ chức và hoạt động của công ty cổ phần có vốn góp.</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3. Bán đấu giá cổ phần theo lô phải thực hiện qua Sở giao dịch chứng khoán (kể cả trường hợp giá trị lô cổ phần tính theo mệnh giá dưới 10 tỷ đồng) trên cơ sở phương án bán theo lô được cấp có thẩm quyền phê duyệt theo quy định tại Điều 5 Thông tư này, trong đó phương án bán cổ phần theo lô phải có các nội dung cơ bản sau: số lô cổ phần bán đấu giá theo từng đợt; số lượng cổ phần của mỗi lô; giá khởi điểm của lô cổ phần bán đấu giá; tiêu chí nhà đầu tư tham gia đấu giá; phương án xử lý trong trường hợp đấu giá không thành công.</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4. Bán đấu giá cổ phần theo lô có thể chia thành nhiều lô khác nhau để bán đấu giá tùy theo số lượng cổ phần và tình hình thị trường nhưng mỗi một phiên đấu giá chỉ bán một lô cổ phần (trọn lô). Số lượng cổ phần của một lô không thấp hơn 5% vốn điều lệ của công ty cổ phần quy định tại Điều 1 Thông tư này.</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5. Trường hợp bán đấu giá cổ phần dưới mệnh giá, dưới giá trị sổ sách và bán cổ phần tại các công ty tài chính, ngân hàng thương mại thì thực hiện theo nguyên tắc phù hợp với quy định tại Quyết định số 51/2014/QĐ-TTg ngày 15/9/2014 của Thủ tướng Chính phủ về thoái vốn, bán cổ phần và đăng ký giao dịch, niêm yết trên thị trường chứng khoán của doanh nghiệp nhà</w:t>
      </w:r>
      <w:r w:rsidRPr="006741D9">
        <w:rPr>
          <w:rFonts w:ascii="Arial" w:eastAsia="Times New Roman" w:hAnsi="Arial" w:cs="Arial"/>
          <w:i/>
          <w:iCs/>
          <w:color w:val="000000"/>
          <w:sz w:val="20"/>
          <w:lang w:val="nl-NL"/>
        </w:rPr>
        <w:t> </w:t>
      </w:r>
      <w:r w:rsidRPr="006741D9">
        <w:rPr>
          <w:rFonts w:ascii="Arial" w:eastAsia="Times New Roman" w:hAnsi="Arial" w:cs="Arial"/>
          <w:color w:val="000000"/>
          <w:sz w:val="20"/>
          <w:szCs w:val="20"/>
          <w:lang w:val="nl-NL"/>
        </w:rPr>
        <w:t>nước.</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5.</w:t>
      </w:r>
      <w:r w:rsidRPr="006741D9">
        <w:rPr>
          <w:rFonts w:ascii="Arial" w:eastAsia="Times New Roman" w:hAnsi="Arial" w:cs="Arial"/>
          <w:b/>
          <w:bCs/>
          <w:color w:val="000000"/>
          <w:sz w:val="20"/>
          <w:lang w:val="nl-NL"/>
        </w:rPr>
        <w:t> </w:t>
      </w:r>
      <w:r w:rsidRPr="006741D9">
        <w:rPr>
          <w:rFonts w:ascii="Arial" w:eastAsia="Times New Roman" w:hAnsi="Arial" w:cs="Arial"/>
          <w:b/>
          <w:bCs/>
          <w:color w:val="000000"/>
          <w:sz w:val="20"/>
          <w:szCs w:val="20"/>
        </w:rPr>
        <w:t>Thẩm quyền phê duyệt phương án bán cổ phần</w:t>
      </w:r>
      <w:r w:rsidRPr="006741D9">
        <w:rPr>
          <w:rFonts w:ascii="Arial" w:eastAsia="Times New Roman" w:hAnsi="Arial" w:cs="Arial"/>
          <w:color w:val="000000"/>
          <w:sz w:val="20"/>
        </w:rPr>
        <w:t> </w:t>
      </w:r>
      <w:r w:rsidRPr="006741D9">
        <w:rPr>
          <w:rFonts w:ascii="Arial" w:eastAsia="Times New Roman" w:hAnsi="Arial" w:cs="Arial"/>
          <w:b/>
          <w:bCs/>
          <w:color w:val="000000"/>
          <w:sz w:val="20"/>
          <w:szCs w:val="20"/>
        </w:rPr>
        <w:t>theo lô</w:t>
      </w:r>
    </w:p>
    <w:p w:rsidR="006741D9" w:rsidRPr="006741D9" w:rsidRDefault="006741D9" w:rsidP="006741D9">
      <w:pPr>
        <w:shd w:val="clear" w:color="auto" w:fill="FFFFFF"/>
        <w:spacing w:after="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t>Việc thẩm quyền phê duyệt phương án bán đấu giá cổ phần theo lô thực hiện theo quy định hiện hành của Nhà nước về thoái vốn nhà nước và vốn của doanh nghiệp do nhà nước nắm giữ 100% vốn điều lệ đầu tư tại công ty cổ phần, cụ thể:</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lastRenderedPageBreak/>
        <w:t>1</w:t>
      </w:r>
      <w:r w:rsidRPr="006741D9">
        <w:rPr>
          <w:rFonts w:ascii="Arial" w:eastAsia="Times New Roman" w:hAnsi="Arial" w:cs="Arial"/>
          <w:color w:val="000000"/>
          <w:sz w:val="20"/>
          <w:szCs w:val="20"/>
          <w:lang w:val="nl-NL"/>
        </w:rPr>
        <w:t>. Bộ quản lý ngành, Ủy ban nhân dân cấp tỉnh quyết định phương án bán cổ phần theo lô tại công ty cổ phần do mình làm đại diện chủ sở hữu sau khi có ý kiến tham gia của Bộ Tài chính, Bộ Kế hoạch và Đầu tư.</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Riêng đối với phương án bán cổ phần theo lô của các Tập đoàn kinh tế, Tổng công ty nhà nước sau cổ phần hóa,</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Bộ quản lý ngành, Ủy ban nhân dân cấp tỉnh quyết định phương án</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bán sau khi có ý kiến chấp thuận của Thủ tướng Chính phủ.</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2</w:t>
      </w:r>
      <w:r w:rsidRPr="006741D9">
        <w:rPr>
          <w:rFonts w:ascii="Arial" w:eastAsia="Times New Roman" w:hAnsi="Arial" w:cs="Arial"/>
          <w:color w:val="000000"/>
          <w:sz w:val="20"/>
          <w:szCs w:val="20"/>
          <w:lang w:val="nl-NL"/>
        </w:rPr>
        <w:t>.</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Hội đồng thành viên hoặc Chủ tịch công ty</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công ty mẹ, công ty trách nhiệm hữu hạn một thành viên độc lập</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quyết định phương án bán cổ phần theo lô</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thuộc thẩm quyền quyết định đầu tư của mình</w:t>
      </w:r>
      <w:r w:rsidRPr="006741D9">
        <w:rPr>
          <w:rFonts w:ascii="Arial" w:eastAsia="Times New Roman" w:hAnsi="Arial" w:cs="Arial"/>
          <w:color w:val="000000"/>
          <w:sz w:val="20"/>
          <w:szCs w:val="20"/>
        </w:rPr>
        <w:t>.</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Đối với doanh nghiệp do Nhà nước nắm giữ 100% vốn điều lệ có chức năng mua, bán, xử lý nợ gắn với tái cơ cấu doanh nghiệp thực hiện đồng thời bán cổ phần theo lô và bán nợ phải thu tại doanh nghiệp tái cơ cấu thì</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Hội đồng thành viên hoặc Chủ tịch công ty</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quyết định phê duyệt phương án bán trên nguyên tắc công khai, minh bạch và có hiệu quả. Trường hợp bán cổ phần, bán nợ phải thu có gắn với tài sản đảm bảo là giá trị quyền sử dụng đất thì phải đảm bảo phù hợp với quy định của pháp luật về đất đai.</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r w:rsidRPr="006741D9">
        <w:rPr>
          <w:rFonts w:ascii="Arial" w:eastAsia="Times New Roman" w:hAnsi="Arial" w:cs="Arial"/>
          <w:color w:val="000000"/>
          <w:sz w:val="20"/>
          <w:lang w:val="nl-NL"/>
        </w:rPr>
        <w:t> </w:t>
      </w:r>
      <w:r w:rsidRPr="006741D9">
        <w:rPr>
          <w:rFonts w:ascii="Arial" w:eastAsia="Times New Roman" w:hAnsi="Arial" w:cs="Arial"/>
          <w:b/>
          <w:bCs/>
          <w:color w:val="000000"/>
          <w:sz w:val="20"/>
          <w:szCs w:val="20"/>
          <w:lang w:val="nl-NL"/>
        </w:rPr>
        <w:t>Điều 6. Đối tượng và điều kiện</w:t>
      </w:r>
      <w:r w:rsidRPr="006741D9">
        <w:rPr>
          <w:rFonts w:ascii="Arial" w:eastAsia="Times New Roman" w:hAnsi="Arial" w:cs="Arial"/>
          <w:b/>
          <w:bCs/>
          <w:color w:val="000000"/>
          <w:sz w:val="20"/>
        </w:rPr>
        <w:t> </w:t>
      </w:r>
      <w:r w:rsidRPr="006741D9">
        <w:rPr>
          <w:rFonts w:ascii="Arial" w:eastAsia="Times New Roman" w:hAnsi="Arial" w:cs="Arial"/>
          <w:b/>
          <w:bCs/>
          <w:color w:val="000000"/>
          <w:sz w:val="20"/>
          <w:szCs w:val="20"/>
        </w:rPr>
        <w:t>mua cổ phần theo lô</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1. Nhà đầu tư tham gia đấu giá mua cổ phần theo lô là các tổ chức, cá nhân Việt Nam và tổ chức, cá nhân nước ngoài. Nhà đầu tư trong nước và nước ngoài được mua cổ phần với số lượng không hạn chế. Đối với lĩnh vực, ngành nghề có quy định tỷ lệ tối đa tham gia đầu tư của nhà đầu tư nước ngoài thì thực hiện theo quy định đó. </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2.</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Nhà đầu tư tham gia mua cổ phần theo lô là các nhà đầu tư có năng lực tài chính</w:t>
      </w:r>
      <w:r w:rsidRPr="006741D9">
        <w:rPr>
          <w:rFonts w:ascii="Arial" w:eastAsia="Times New Roman" w:hAnsi="Arial" w:cs="Arial"/>
          <w:color w:val="000000"/>
          <w:sz w:val="20"/>
          <w:szCs w:val="20"/>
          <w:lang w:val="nl-NL"/>
        </w:rPr>
        <w:t>, có</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cam kết</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gắn bó lợi ích với doanh nghiệp (bao gồm cả: thời gian tối thiểu nắm giữ cổ phần; có phương án tiếp tục sử dụng lao động hiện có) và hỗ trợ</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doanh nghiệp</w:t>
      </w:r>
      <w:r w:rsidRPr="006741D9">
        <w:rPr>
          <w:rFonts w:ascii="Arial" w:eastAsia="Times New Roman" w:hAnsi="Arial" w:cs="Arial"/>
          <w:color w:val="000000"/>
          <w:sz w:val="20"/>
          <w:szCs w:val="20"/>
          <w:lang w:val="nl-NL"/>
        </w:rPr>
        <w:t>để: nâng cao năng lực tài chính, quản trị doanh nghiệp; chuyển giao, ứng dụng công nghệ mới; đào tạo nguồn nhân lực; nâng cao hiệu quả hoạt động sản xuất kinh doanh và sức cạnh tranh của doanh nghiệp</w:t>
      </w:r>
      <w:r w:rsidRPr="006741D9">
        <w:rPr>
          <w:rFonts w:ascii="Arial" w:eastAsia="Times New Roman" w:hAnsi="Arial" w:cs="Arial"/>
          <w:color w:val="000000"/>
          <w:sz w:val="20"/>
          <w:szCs w:val="20"/>
        </w:rPr>
        <w:t>.</w:t>
      </w:r>
    </w:p>
    <w:p w:rsidR="006741D9" w:rsidRPr="006741D9" w:rsidRDefault="006741D9" w:rsidP="006741D9">
      <w:pPr>
        <w:shd w:val="clear" w:color="auto" w:fill="FFFFFF"/>
        <w:spacing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t>Trường hợp</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nhà đầu có nhu cầu</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chuyển nhượng cổ phần trước thời hạn</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cam kết</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thì phải được Đại hội đồng cổ đông chấp thuận.</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3. Căn cứ quy định tại khoản 2 Điều này, Người đại diện xây dựng tiêu chí lựa chọn nhà đầu tư tham gia đấu giá để báo cáo cơ quan có thẩm quyền phê duyệt trong phương án bán cổ phần theo lô.</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Điều 7. Quyền và nghĩa vụ của nhà đầu tư</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1. Được khảo sát tình hình hoạt động của doanh nghiệp để quyết định tham gia đầu tư.   </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2. Sau khi hoàn tất việc mua cổ phần và trở thành cổ đông của doanh nghiệp, nhà đầu tư có trách nhiệm thực hiện các quyền và nghĩa vụ của cổ đông theo quy định của pháp luật hiện hành, đồng thời đảm bảo thực hiện đúng các cam kết gắn bó lợi ích và hỗ trợ doanh nghiệp trên nguyên tắc phù hợp với tiêu chí lựa chọn nhà đầu tư tham gia mua cổ phần. Trường hợp không thực hiện đúng các cam kết dẫn đến thiệt hại cho doanh nghiệp thì nhà đầu tư phải thực hiện bồi thường theo quy định của pháp luật hiện hành.</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8. Xác định g</w:t>
      </w:r>
      <w:r w:rsidRPr="006741D9">
        <w:rPr>
          <w:rFonts w:ascii="Arial" w:eastAsia="Times New Roman" w:hAnsi="Arial" w:cs="Arial"/>
          <w:b/>
          <w:bCs/>
          <w:color w:val="000000"/>
          <w:sz w:val="20"/>
          <w:szCs w:val="20"/>
        </w:rPr>
        <w:t>iá khởi điểm lô</w:t>
      </w:r>
      <w:r w:rsidRPr="006741D9">
        <w:rPr>
          <w:rFonts w:ascii="Arial" w:eastAsia="Times New Roman" w:hAnsi="Arial" w:cs="Arial"/>
          <w:b/>
          <w:bCs/>
          <w:color w:val="000000"/>
          <w:sz w:val="20"/>
          <w:lang w:val="nl-NL"/>
        </w:rPr>
        <w:t> </w:t>
      </w:r>
      <w:r w:rsidRPr="006741D9">
        <w:rPr>
          <w:rFonts w:ascii="Arial" w:eastAsia="Times New Roman" w:hAnsi="Arial" w:cs="Arial"/>
          <w:b/>
          <w:bCs/>
          <w:color w:val="000000"/>
          <w:sz w:val="20"/>
          <w:szCs w:val="20"/>
          <w:lang w:val="nl-NL"/>
        </w:rPr>
        <w:t>cổ phần</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1.</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Giá khởi điểm lô</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lang w:val="nl-NL"/>
        </w:rPr>
        <w:t>cổ phần đượ</w:t>
      </w:r>
      <w:r w:rsidRPr="006741D9">
        <w:rPr>
          <w:rFonts w:ascii="Arial" w:eastAsia="Times New Roman" w:hAnsi="Arial" w:cs="Arial"/>
          <w:color w:val="000000"/>
          <w:sz w:val="20"/>
          <w:szCs w:val="20"/>
        </w:rPr>
        <w:t>c xác định</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bằng giá khởi điểm bán một cổ phần nhân (x) với số lượng cổ phần của một lô.</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lastRenderedPageBreak/>
        <w:t>2. Giá khởi điểm một cổ phần được xác định</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trên cơ sở kết quả</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định giá</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của</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tổ chức</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có chức năng thẩm định giá. Đối với trường hợp bán cổ phần của các doanh nghiệp quy định tại khoản 2 Điều 2 của Thông tư này, giá khởi điểm không thấp hơn giá trị sổ sách của khoản</w:t>
      </w:r>
      <w:r w:rsidRPr="006741D9">
        <w:rPr>
          <w:rFonts w:ascii="Arial" w:eastAsia="Times New Roman" w:hAnsi="Arial" w:cs="Arial"/>
          <w:color w:val="000000"/>
          <w:sz w:val="20"/>
        </w:rPr>
        <w:t> </w:t>
      </w:r>
      <w:r w:rsidRPr="006741D9">
        <w:rPr>
          <w:rFonts w:ascii="Arial" w:eastAsia="Times New Roman" w:hAnsi="Arial" w:cs="Arial"/>
          <w:color w:val="000000"/>
          <w:sz w:val="20"/>
          <w:szCs w:val="20"/>
          <w:shd w:val="clear" w:color="auto" w:fill="FFFFFF"/>
        </w:rPr>
        <w:t>đầu tư</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trừ đi dự phòng tổn thất</w:t>
      </w:r>
      <w:r w:rsidRPr="006741D9">
        <w:rPr>
          <w:rFonts w:ascii="Arial" w:eastAsia="Times New Roman" w:hAnsi="Arial" w:cs="Arial"/>
          <w:color w:val="000000"/>
          <w:sz w:val="20"/>
        </w:rPr>
        <w:t> </w:t>
      </w:r>
      <w:r w:rsidRPr="006741D9">
        <w:rPr>
          <w:rFonts w:ascii="Arial" w:eastAsia="Times New Roman" w:hAnsi="Arial" w:cs="Arial"/>
          <w:color w:val="000000"/>
          <w:sz w:val="20"/>
          <w:szCs w:val="20"/>
          <w:shd w:val="clear" w:color="auto" w:fill="FFFFFF"/>
        </w:rPr>
        <w:t>đầu tư</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tài chính đã được trích lập</w:t>
      </w:r>
      <w:r w:rsidRPr="006741D9">
        <w:rPr>
          <w:rFonts w:ascii="Arial" w:eastAsia="Times New Roman" w:hAnsi="Arial" w:cs="Arial"/>
          <w:color w:val="000000"/>
          <w:sz w:val="20"/>
        </w:rPr>
        <w:t> </w:t>
      </w:r>
      <w:r w:rsidRPr="006741D9">
        <w:rPr>
          <w:rFonts w:ascii="Arial" w:eastAsia="Times New Roman" w:hAnsi="Arial" w:cs="Arial"/>
          <w:color w:val="000000"/>
          <w:sz w:val="20"/>
          <w:szCs w:val="20"/>
          <w:shd w:val="clear" w:color="auto" w:fill="FFFFFF"/>
        </w:rPr>
        <w:t>bổ sung</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đầy đủ theo quy định hiện hành tại thời điểm xây dựng phương án</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bán cổ phần</w:t>
      </w:r>
      <w:r w:rsidRPr="006741D9">
        <w:rPr>
          <w:rFonts w:ascii="Arial" w:eastAsia="Times New Roman" w:hAnsi="Arial" w:cs="Arial"/>
          <w:color w:val="000000"/>
          <w:sz w:val="20"/>
          <w:szCs w:val="20"/>
        </w:rPr>
        <w:t>.</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9. Tổ chức bán đấu giá cổ phần theo lô</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1. Bán đấu giá cổ phần theo lô thực hiện theo Quy chế mẫu về bán đấu giá cổ phần theo lô do Ủy ban chứng khoán nhà nước ban hành</w:t>
      </w:r>
      <w:r w:rsidRPr="006741D9">
        <w:rPr>
          <w:rFonts w:ascii="Arial" w:eastAsia="Times New Roman" w:hAnsi="Arial" w:cs="Arial"/>
          <w:color w:val="000000"/>
          <w:sz w:val="20"/>
          <w:szCs w:val="20"/>
        </w:rPr>
        <w:t>, trong đó, thời gian thực hiện công bố thông tin theo quy định tối thiểu là 30 ngày kể từ ngày công bố</w:t>
      </w:r>
      <w:r w:rsidRPr="006741D9">
        <w:rPr>
          <w:rFonts w:ascii="Arial" w:eastAsia="Times New Roman" w:hAnsi="Arial" w:cs="Arial"/>
          <w:color w:val="000000"/>
          <w:sz w:val="20"/>
          <w:szCs w:val="20"/>
          <w:lang w:val="nl-NL"/>
        </w:rPr>
        <w:t>.</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2. Căn cứ Quy chế mẫu về bán đấu giá cổ phần theo lô, Sở Giao dịch chứng khoán phối hợp với đại diện chủ sở vốn và Người đại diện để xây dựng Quy chế bán đấu giá cổ phần theo lô cho từng đối tượng cụ thể.</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10. Xử lý kết quả bán đấu giá</w:t>
      </w:r>
      <w:r w:rsidRPr="006741D9">
        <w:rPr>
          <w:rFonts w:ascii="Arial" w:eastAsia="Times New Roman" w:hAnsi="Arial" w:cs="Arial"/>
          <w:b/>
          <w:bCs/>
          <w:color w:val="000000"/>
          <w:sz w:val="20"/>
          <w:lang w:val="nl-NL"/>
        </w:rPr>
        <w:t> </w:t>
      </w:r>
      <w:r w:rsidRPr="006741D9">
        <w:rPr>
          <w:rFonts w:ascii="Arial" w:eastAsia="Times New Roman" w:hAnsi="Arial" w:cs="Arial"/>
          <w:b/>
          <w:bCs/>
          <w:color w:val="000000"/>
          <w:sz w:val="20"/>
          <w:szCs w:val="20"/>
        </w:rPr>
        <w:t>cổ phần</w:t>
      </w:r>
      <w:r w:rsidRPr="006741D9">
        <w:rPr>
          <w:rFonts w:ascii="Arial" w:eastAsia="Times New Roman" w:hAnsi="Arial" w:cs="Arial"/>
          <w:b/>
          <w:bCs/>
          <w:color w:val="000000"/>
          <w:sz w:val="20"/>
          <w:lang w:val="nl-NL"/>
        </w:rPr>
        <w:t> </w:t>
      </w:r>
      <w:r w:rsidRPr="006741D9">
        <w:rPr>
          <w:rFonts w:ascii="Arial" w:eastAsia="Times New Roman" w:hAnsi="Arial" w:cs="Arial"/>
          <w:b/>
          <w:bCs/>
          <w:color w:val="000000"/>
          <w:sz w:val="20"/>
          <w:szCs w:val="20"/>
          <w:lang w:val="nl-NL"/>
        </w:rPr>
        <w:t>theo lô</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1. Nhà đầu tư trả mức giá cao nhất của cuộc đấu giá là nhà đầu tư trúng đấu giá. Trường hợp các nhà đầu tư cùng trả mức giá bằng nhau cho một lô cổ phần thì thực hiện chào bán cạnh tranh theo hình thức bỏ phiếu kín giữa các nhà đầu tư với giá khởi điểm là mức giá trả bằng nhau và nhà đầu tư trả giá cao nhất là nhà đầu tư trúng đấu giá.</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2. Trường hợp nhà đầu tư trúng đấu giá nhưng từ chối thanh toán tiền mua cổ phần thì không được hoàn trả lại tiền đặt cọc mua cổ phần và nhà đầu tư trả giá thấp hơn liền sau được xác định là nhà đầu tư trúng đấu giá.</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3. Trường hợp bán đấu giá lô cổ phần không thành công, người đại diện báo cáo cơ quan quyết định phê duyệt phương án bán cổ phần quyết định thực hiện bán cổ phần không theo lô. Việc bán cổ phần không theo lô được thực hiện theo quy định hiện hành của Nhà nước.   </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w:t>
      </w:r>
      <w:r w:rsidRPr="006741D9">
        <w:rPr>
          <w:rFonts w:ascii="Arial" w:eastAsia="Times New Roman" w:hAnsi="Arial" w:cs="Arial"/>
          <w:b/>
          <w:bCs/>
          <w:color w:val="000000"/>
          <w:sz w:val="20"/>
          <w:lang w:val="nl-NL"/>
        </w:rPr>
        <w:t> </w:t>
      </w:r>
      <w:r w:rsidRPr="006741D9">
        <w:rPr>
          <w:rFonts w:ascii="Arial" w:eastAsia="Times New Roman" w:hAnsi="Arial" w:cs="Arial"/>
          <w:b/>
          <w:bCs/>
          <w:color w:val="000000"/>
          <w:sz w:val="20"/>
          <w:szCs w:val="20"/>
        </w:rPr>
        <w:t>1</w:t>
      </w:r>
      <w:r w:rsidRPr="006741D9">
        <w:rPr>
          <w:rFonts w:ascii="Arial" w:eastAsia="Times New Roman" w:hAnsi="Arial" w:cs="Arial"/>
          <w:b/>
          <w:bCs/>
          <w:color w:val="000000"/>
          <w:sz w:val="20"/>
          <w:szCs w:val="20"/>
          <w:lang w:val="nl-NL"/>
        </w:rPr>
        <w:t>1. Quản lý tiền thu từ bán cổ phần theo lô</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1. Tiền thu</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bán đấu giá cổ phần theo lô</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đối với phần vốn nhà nước tại công ty cổ phần và vốn của doanh nghiệp do Nhà nước sở hữu 100% vốn điều lệ được thực hiện theo quy định hiện hành của Nhà nước về thoái vốn đầu tư</w:t>
      </w:r>
      <w:r w:rsidRPr="006741D9">
        <w:rPr>
          <w:rFonts w:ascii="Arial" w:eastAsia="Times New Roman" w:hAnsi="Arial" w:cs="Arial"/>
          <w:color w:val="000000"/>
          <w:sz w:val="20"/>
          <w:szCs w:val="20"/>
        </w:rPr>
        <w:t>.</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2. Trường hợp bán cổ phần nhà nước do Bộ quản lý ngành, Ủy ban nhân dân cấp tỉnh làm đại diện chủ sở hữu, chi phí bán cổ phần và chi phí thuê tổ chức có chức năng thẩm định giá được trừ vào số tiền phải nộp về Quỹ Hỗ trợ sắp xếp và Phát triển doanh nghiệp theo quy định.</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Chương III</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TỔ CHỨC THỰC HIỆN</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w:t>
      </w:r>
    </w:p>
    <w:p w:rsidR="006741D9" w:rsidRPr="006741D9" w:rsidRDefault="006741D9" w:rsidP="006741D9">
      <w:pPr>
        <w:shd w:val="clear" w:color="auto" w:fill="FFFFFF"/>
        <w:spacing w:before="120" w:after="120" w:line="276" w:lineRule="atLeast"/>
        <w:ind w:firstLine="709"/>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12. Trách nhiệm của Bộ quản lý ngành, Ủy ban nhân dân cấp tỉnh</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lastRenderedPageBreak/>
        <w:t>            1. Chỉ đạo Người đại diện:</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a - Xây dựng phương án bán cổ phần để phê duyệt theo quy định tại Thông tư này.</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b - Phối hợp, tạo điều kiện để các nhà đầu tư khảo sát tình hình hoạt động của doanh nghiệp.</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2. Lựa chọn và thuê tổ chức tổ chức có chức năng thẩm định giá để xác định giá khởi điểm bán cổ phần.</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rPr>
        <w:t>            3.</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Kiểm tra, giám sát việc thực hiện phương án bán cổ phần.</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4</w:t>
      </w:r>
      <w:r w:rsidRPr="006741D9">
        <w:rPr>
          <w:rFonts w:ascii="Arial" w:eastAsia="Times New Roman" w:hAnsi="Arial" w:cs="Arial"/>
          <w:color w:val="000000"/>
          <w:sz w:val="20"/>
          <w:szCs w:val="20"/>
          <w:lang w:val="nl-NL"/>
        </w:rPr>
        <w:t>. Xem xét, xử lý theo thẩm quyền hoặc báo cáo cấp có thẩm quyền xử lý những vướng mắc trong quá trình triển khai phương án bán cổ phần.</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5</w:t>
      </w:r>
      <w:r w:rsidRPr="006741D9">
        <w:rPr>
          <w:rFonts w:ascii="Arial" w:eastAsia="Times New Roman" w:hAnsi="Arial" w:cs="Arial"/>
          <w:color w:val="000000"/>
          <w:sz w:val="20"/>
          <w:szCs w:val="20"/>
          <w:lang w:val="nl-NL"/>
        </w:rPr>
        <w:t>. Thực hiện chế độ báo cáo kết quả bán cổ phần theo quy định hiện hành về thoái vốn nhà nước đầu tư tại doanh nghiệp.</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ind w:firstLine="720"/>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13. Trách nhiệm của Hội đồng thành viên, Chủ tịch công ty của công ty mẹ, công ty trách nhiệm một thành viên độc lập thuộc các Bộ quản lý ngành, Ủy ban nhân dân cấp tỉnh</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1. Chỉ đạo Người đại diện:</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a - Xây dựng phương án bán cổ phần để phê duyệt theo quy định tại Thông tư này.</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b - Phối hợp, tạo điều kiện để các nhà đầu tư khảo sát tình hình hoạt động của doanh nghiệp.</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2. Lựa chọn và thuê tổ chức tổ chức có chức năng thẩm định giá để xác định giá khởi điểm bán cổ phần.</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3. Thực hiện chế độ báo cáo kết quả bán cổ phần theo quy định hiện hành về thoái vốn của doanh nghiệp do Nhà nước nắm giữ 100% vốn điều lệ đầu tư vào doanh nghiệp khác.</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Điều 14. Trách nhiệm của Người đại diện</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1. Xây dựng phương án bán cổ phần (bao gồm cả tiêu chí lựa chọn nhà đầu tư mua theo lô), báo cáo cấp có thẩm quyền phê duyệt.</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2. Phối hợp với Sở Giao dịch chứng khoán để xây dựng Quy chế bán đấu giá cổ phần.</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3. Phối hợp với các nhà đầu tư trong việc </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3. Giám sát quá trình thực hiện phương án bán cổ phần. Báo cáo đại diện chủ sở hữu những vướng mắc phát sinh trong quá trình thực hiện để xử lý.</w:t>
      </w:r>
    </w:p>
    <w:p w:rsidR="006741D9" w:rsidRPr="006741D9" w:rsidRDefault="006741D9" w:rsidP="006741D9">
      <w:pPr>
        <w:shd w:val="clear" w:color="auto" w:fill="FFFFFF"/>
        <w:spacing w:before="120" w:after="120" w:line="276" w:lineRule="atLeast"/>
        <w:ind w:firstLine="720"/>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15. Trách nhiệm của Ủy</w:t>
      </w:r>
      <w:r w:rsidRPr="006741D9">
        <w:rPr>
          <w:rFonts w:ascii="Arial" w:eastAsia="Times New Roman" w:hAnsi="Arial" w:cs="Arial"/>
          <w:b/>
          <w:bCs/>
          <w:color w:val="000000"/>
          <w:sz w:val="20"/>
        </w:rPr>
        <w:t> </w:t>
      </w:r>
      <w:r w:rsidRPr="006741D9">
        <w:rPr>
          <w:rFonts w:ascii="Arial" w:eastAsia="Times New Roman" w:hAnsi="Arial" w:cs="Arial"/>
          <w:b/>
          <w:bCs/>
          <w:color w:val="000000"/>
          <w:sz w:val="20"/>
          <w:szCs w:val="20"/>
        </w:rPr>
        <w:t>ban chứng khoán nhà nước</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1.</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Xây dựng và ban hành Quy chế mẫu bán đấu giá cổ phần theo lô qua Sở Giao dịch chứng khoán</w:t>
      </w:r>
      <w:r w:rsidRPr="006741D9">
        <w:rPr>
          <w:rFonts w:ascii="Arial" w:eastAsia="Times New Roman" w:hAnsi="Arial" w:cs="Arial"/>
          <w:color w:val="000000"/>
          <w:sz w:val="20"/>
          <w:szCs w:val="20"/>
          <w:lang w:val="nl-NL"/>
        </w:rPr>
        <w:t>.</w:t>
      </w:r>
    </w:p>
    <w:p w:rsidR="006741D9" w:rsidRPr="006741D9" w:rsidRDefault="006741D9" w:rsidP="006741D9">
      <w:pPr>
        <w:shd w:val="clear" w:color="auto" w:fill="FFFFFF"/>
        <w:spacing w:before="120" w:after="12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2. Xử lý theo thẩm quyền hoặc báo cáo cấp có thẩm quyền xem xét, xử lý</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các</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khó khăn,</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vướng mắc</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trong quá trình</w:t>
      </w:r>
      <w:r w:rsidRPr="006741D9">
        <w:rPr>
          <w:rFonts w:ascii="Arial" w:eastAsia="Times New Roman" w:hAnsi="Arial" w:cs="Arial"/>
          <w:color w:val="000000"/>
          <w:sz w:val="20"/>
        </w:rPr>
        <w:t> </w:t>
      </w:r>
      <w:r w:rsidRPr="006741D9">
        <w:rPr>
          <w:rFonts w:ascii="Arial" w:eastAsia="Times New Roman" w:hAnsi="Arial" w:cs="Arial"/>
          <w:color w:val="000000"/>
          <w:sz w:val="20"/>
          <w:szCs w:val="20"/>
        </w:rPr>
        <w:t>thực hiện bán đấu giá cổ phần theo lô</w:t>
      </w:r>
      <w:r w:rsidRPr="006741D9">
        <w:rPr>
          <w:rFonts w:ascii="Arial" w:eastAsia="Times New Roman" w:hAnsi="Arial" w:cs="Arial"/>
          <w:color w:val="000000"/>
          <w:sz w:val="20"/>
          <w:szCs w:val="20"/>
          <w:lang w:val="nl-NL"/>
        </w:rPr>
        <w:t>.</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rPr>
        <w:t> </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Chương I</w:t>
      </w:r>
      <w:r w:rsidRPr="006741D9">
        <w:rPr>
          <w:rFonts w:ascii="Arial" w:eastAsia="Times New Roman" w:hAnsi="Arial" w:cs="Arial"/>
          <w:b/>
          <w:bCs/>
          <w:color w:val="000000"/>
          <w:sz w:val="20"/>
          <w:szCs w:val="20"/>
        </w:rPr>
        <w:t>V</w:t>
      </w:r>
    </w:p>
    <w:p w:rsidR="006741D9" w:rsidRPr="006741D9" w:rsidRDefault="006741D9" w:rsidP="006741D9">
      <w:pPr>
        <w:shd w:val="clear" w:color="auto" w:fill="FFFFFF"/>
        <w:spacing w:after="0" w:line="276" w:lineRule="atLeast"/>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rPr>
        <w:t>HIỆU LỰC THI HÀNH</w:t>
      </w:r>
    </w:p>
    <w:p w:rsidR="006741D9" w:rsidRPr="006741D9" w:rsidRDefault="006741D9" w:rsidP="006741D9">
      <w:pPr>
        <w:shd w:val="clear" w:color="auto" w:fill="FFFFFF"/>
        <w:spacing w:before="120" w:after="120" w:line="276" w:lineRule="atLeast"/>
        <w:ind w:firstLine="720"/>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lastRenderedPageBreak/>
        <w:t> </w:t>
      </w:r>
    </w:p>
    <w:p w:rsidR="006741D9" w:rsidRPr="006741D9" w:rsidRDefault="006741D9" w:rsidP="006741D9">
      <w:pPr>
        <w:shd w:val="clear" w:color="auto" w:fill="FFFFFF"/>
        <w:spacing w:before="120" w:after="120" w:line="276" w:lineRule="atLeast"/>
        <w:ind w:firstLine="720"/>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16. Điều khoản chuyển tiếp</w:t>
      </w:r>
    </w:p>
    <w:p w:rsidR="006741D9" w:rsidRPr="006741D9" w:rsidRDefault="006741D9" w:rsidP="006741D9">
      <w:pPr>
        <w:shd w:val="clear" w:color="auto" w:fill="FFFFFF"/>
        <w:spacing w:before="120" w:after="120" w:line="276" w:lineRule="atLeast"/>
        <w:ind w:firstLine="720"/>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Trường hợp các Bộ quản lý ngành, Ủy ban nhân dân cấp tỉnh đã phê duyệt phương án thoái vốn theo quy định trước thời điểm Thông tư này có hiệu lực thi hành mà điều chỉnh, bổ sung phương án để thoái vốn, bán cổ phần theo lô thì thực hiện theo quy định tại Thông tư này.</w:t>
      </w:r>
    </w:p>
    <w:p w:rsidR="006741D9" w:rsidRPr="006741D9" w:rsidRDefault="006741D9" w:rsidP="006741D9">
      <w:pPr>
        <w:shd w:val="clear" w:color="auto" w:fill="FFFFFF"/>
        <w:spacing w:before="120" w:after="120" w:line="276" w:lineRule="atLeast"/>
        <w:ind w:firstLine="720"/>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before="120" w:after="120" w:line="276" w:lineRule="atLeast"/>
        <w:ind w:firstLine="720"/>
        <w:jc w:val="both"/>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Điều 17.</w:t>
      </w:r>
      <w:r w:rsidRPr="006741D9">
        <w:rPr>
          <w:rFonts w:ascii="Arial" w:eastAsia="Times New Roman" w:hAnsi="Arial" w:cs="Arial"/>
          <w:b/>
          <w:bCs/>
          <w:color w:val="000000"/>
          <w:sz w:val="20"/>
          <w:lang w:val="nl-NL"/>
        </w:rPr>
        <w:t> </w:t>
      </w:r>
      <w:r w:rsidRPr="006741D9">
        <w:rPr>
          <w:rFonts w:ascii="Arial" w:eastAsia="Times New Roman" w:hAnsi="Arial" w:cs="Arial"/>
          <w:b/>
          <w:bCs/>
          <w:color w:val="000000"/>
          <w:sz w:val="20"/>
          <w:szCs w:val="20"/>
        </w:rPr>
        <w:t>Hiệu lực</w:t>
      </w:r>
      <w:r w:rsidRPr="006741D9">
        <w:rPr>
          <w:rFonts w:ascii="Arial" w:eastAsia="Times New Roman" w:hAnsi="Arial" w:cs="Arial"/>
          <w:b/>
          <w:bCs/>
          <w:color w:val="000000"/>
          <w:sz w:val="20"/>
          <w:lang w:val="nl-NL"/>
        </w:rPr>
        <w:t> </w:t>
      </w:r>
      <w:r w:rsidRPr="006741D9">
        <w:rPr>
          <w:rFonts w:ascii="Arial" w:eastAsia="Times New Roman" w:hAnsi="Arial" w:cs="Arial"/>
          <w:b/>
          <w:bCs/>
          <w:color w:val="000000"/>
          <w:sz w:val="20"/>
          <w:szCs w:val="20"/>
          <w:lang w:val="nl-NL"/>
        </w:rPr>
        <w:t>thi hành</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1.</w:t>
      </w:r>
      <w:r w:rsidRPr="006741D9">
        <w:rPr>
          <w:rFonts w:ascii="Times New Roman" w:eastAsia="Times New Roman" w:hAnsi="Times New Roman" w:cs="Times New Roman"/>
          <w:color w:val="000000"/>
          <w:sz w:val="14"/>
          <w:szCs w:val="14"/>
          <w:lang w:val="nl-NL"/>
        </w:rPr>
        <w:t>  </w:t>
      </w:r>
      <w:r w:rsidRPr="006741D9">
        <w:rPr>
          <w:rFonts w:ascii="Times New Roman" w:eastAsia="Times New Roman" w:hAnsi="Times New Roman" w:cs="Times New Roman"/>
          <w:color w:val="000000"/>
          <w:sz w:val="14"/>
          <w:lang w:val="nl-NL"/>
        </w:rPr>
        <w:t> </w:t>
      </w:r>
      <w:r w:rsidRPr="006741D9">
        <w:rPr>
          <w:rFonts w:ascii="Arial" w:eastAsia="Times New Roman" w:hAnsi="Arial" w:cs="Arial"/>
          <w:color w:val="000000"/>
          <w:sz w:val="20"/>
          <w:szCs w:val="20"/>
        </w:rPr>
        <w:t>T</w:t>
      </w:r>
      <w:r w:rsidRPr="006741D9">
        <w:rPr>
          <w:rFonts w:ascii="Arial" w:eastAsia="Times New Roman" w:hAnsi="Arial" w:cs="Arial"/>
          <w:color w:val="000000"/>
          <w:sz w:val="20"/>
          <w:szCs w:val="20"/>
          <w:lang w:val="nl-NL"/>
        </w:rPr>
        <w:t>hông tư này có hiệu lực thi hành kể từ</w:t>
      </w:r>
      <w:r w:rsidRPr="006741D9">
        <w:rPr>
          <w:rFonts w:ascii="Arial" w:eastAsia="Times New Roman" w:hAnsi="Arial" w:cs="Arial"/>
          <w:color w:val="000000"/>
          <w:sz w:val="20"/>
          <w:lang w:val="nl-NL"/>
        </w:rPr>
        <w:t> </w:t>
      </w:r>
      <w:r w:rsidRPr="006741D9">
        <w:rPr>
          <w:rFonts w:ascii="Arial" w:eastAsia="Times New Roman" w:hAnsi="Arial" w:cs="Arial"/>
          <w:color w:val="000000"/>
          <w:sz w:val="20"/>
          <w:szCs w:val="20"/>
        </w:rPr>
        <w:t>ngày</w:t>
      </w:r>
      <w:r w:rsidRPr="006741D9">
        <w:rPr>
          <w:rFonts w:ascii="Arial" w:eastAsia="Times New Roman" w:hAnsi="Arial" w:cs="Arial"/>
          <w:color w:val="000000"/>
          <w:sz w:val="20"/>
          <w:szCs w:val="20"/>
          <w:lang w:val="nl-NL"/>
        </w:rPr>
        <w:t>…..tháng….năm 2015</w:t>
      </w:r>
      <w:r w:rsidRPr="006741D9">
        <w:rPr>
          <w:rFonts w:ascii="Arial" w:eastAsia="Times New Roman" w:hAnsi="Arial" w:cs="Arial"/>
          <w:color w:val="000000"/>
          <w:sz w:val="20"/>
          <w:szCs w:val="20"/>
        </w:rPr>
        <w:t>.</w:t>
      </w:r>
    </w:p>
    <w:p w:rsidR="006741D9" w:rsidRPr="006741D9" w:rsidRDefault="006741D9" w:rsidP="006741D9">
      <w:pPr>
        <w:shd w:val="clear" w:color="auto" w:fill="FFFFFF"/>
        <w:spacing w:before="120" w:after="120" w:line="276" w:lineRule="atLeast"/>
        <w:ind w:firstLine="567"/>
        <w:jc w:val="both"/>
        <w:rPr>
          <w:rFonts w:ascii="Times New Roman" w:eastAsia="Times New Roman" w:hAnsi="Times New Roman" w:cs="Times New Roman"/>
          <w:color w:val="000000"/>
          <w:sz w:val="24"/>
          <w:szCs w:val="24"/>
        </w:rPr>
      </w:pPr>
      <w:r w:rsidRPr="006741D9">
        <w:rPr>
          <w:rFonts w:ascii="Arial" w:eastAsia="Times New Roman" w:hAnsi="Arial" w:cs="Arial"/>
          <w:color w:val="000000"/>
          <w:sz w:val="20"/>
          <w:szCs w:val="20"/>
          <w:lang w:val="nl-NL"/>
        </w:rPr>
        <w:t>2.</w:t>
      </w:r>
      <w:r w:rsidRPr="006741D9">
        <w:rPr>
          <w:rFonts w:ascii="Times New Roman" w:eastAsia="Times New Roman" w:hAnsi="Times New Roman" w:cs="Times New Roman"/>
          <w:color w:val="000000"/>
          <w:sz w:val="14"/>
          <w:szCs w:val="14"/>
          <w:lang w:val="nl-NL"/>
        </w:rPr>
        <w:t>  </w:t>
      </w:r>
      <w:r w:rsidRPr="006741D9">
        <w:rPr>
          <w:rFonts w:ascii="Times New Roman" w:eastAsia="Times New Roman" w:hAnsi="Times New Roman" w:cs="Times New Roman"/>
          <w:color w:val="000000"/>
          <w:sz w:val="14"/>
          <w:lang w:val="nl-NL"/>
        </w:rPr>
        <w:t> </w:t>
      </w:r>
      <w:r w:rsidRPr="006741D9">
        <w:rPr>
          <w:rFonts w:ascii="Arial" w:eastAsia="Times New Roman" w:hAnsi="Arial" w:cs="Arial"/>
          <w:color w:val="000000"/>
          <w:sz w:val="20"/>
          <w:szCs w:val="20"/>
        </w:rPr>
        <w:t>Các đối tượng không thuộc phạm vi điều chỉnh của Thông tư này khi thực hiện thoái vốn đầu tư tại các công ty cổ phần chưa niêm yết hoặc chưa đăng ký giao dịch trên sàn giao dịch Upcom, căn cứ quyết định phê duyệt của chủ sở hữu được tổ chức thực hiện bán đấu giá cổ phần theo lô qua các Sở Giao dịch chứng khoán.</w:t>
      </w:r>
    </w:p>
    <w:p w:rsidR="006741D9" w:rsidRPr="006741D9" w:rsidRDefault="006741D9" w:rsidP="006741D9">
      <w:pPr>
        <w:shd w:val="clear" w:color="auto" w:fill="FFFFFF"/>
        <w:spacing w:before="120" w:after="120" w:line="207" w:lineRule="atLeast"/>
        <w:ind w:firstLine="567"/>
        <w:jc w:val="both"/>
        <w:rPr>
          <w:rFonts w:ascii="Arial" w:eastAsia="Times New Roman" w:hAnsi="Arial" w:cs="Arial"/>
          <w:color w:val="000000"/>
          <w:sz w:val="18"/>
          <w:szCs w:val="18"/>
        </w:rPr>
      </w:pPr>
      <w:r w:rsidRPr="006741D9">
        <w:rPr>
          <w:rFonts w:ascii="Arial" w:eastAsia="Times New Roman" w:hAnsi="Arial" w:cs="Arial"/>
          <w:color w:val="000000"/>
          <w:sz w:val="20"/>
          <w:szCs w:val="20"/>
        </w:rPr>
        <w:t>3</w:t>
      </w:r>
      <w:r w:rsidRPr="006741D9">
        <w:rPr>
          <w:rFonts w:ascii="Arial" w:eastAsia="Times New Roman" w:hAnsi="Arial" w:cs="Arial"/>
          <w:color w:val="000000"/>
          <w:sz w:val="20"/>
          <w:szCs w:val="20"/>
          <w:lang w:val="nl-NL"/>
        </w:rPr>
        <w:t>. Trong quá trình thực hiện nếu có vướng mắc, đề nghị các cơ quan, đơn vị phản ánh kịp thời về Bộ Tài chính để nghiên cứu, giải quyết./.</w:t>
      </w:r>
    </w:p>
    <w:p w:rsidR="006741D9" w:rsidRPr="006741D9" w:rsidRDefault="006741D9" w:rsidP="006741D9">
      <w:pPr>
        <w:shd w:val="clear" w:color="auto" w:fill="FFFFFF"/>
        <w:spacing w:before="120" w:after="120" w:line="207" w:lineRule="atLeast"/>
        <w:ind w:firstLine="567"/>
        <w:jc w:val="both"/>
        <w:rPr>
          <w:rFonts w:ascii="Arial" w:eastAsia="Times New Roman" w:hAnsi="Arial" w:cs="Arial"/>
          <w:color w:val="000000"/>
          <w:sz w:val="18"/>
          <w:szCs w:val="18"/>
        </w:rPr>
      </w:pPr>
      <w:r w:rsidRPr="006741D9">
        <w:rPr>
          <w:rFonts w:ascii="Arial" w:eastAsia="Times New Roman" w:hAnsi="Arial" w:cs="Arial"/>
          <w:color w:val="000000"/>
          <w:sz w:val="20"/>
          <w:szCs w:val="20"/>
          <w:lang w:val="nl-NL"/>
        </w:rPr>
        <w:t> </w:t>
      </w:r>
    </w:p>
    <w:p w:rsidR="006741D9" w:rsidRPr="006741D9" w:rsidRDefault="006741D9" w:rsidP="006741D9">
      <w:pPr>
        <w:shd w:val="clear" w:color="auto" w:fill="FFFFFF"/>
        <w:spacing w:after="0" w:line="276" w:lineRule="atLeast"/>
        <w:jc w:val="both"/>
        <w:rPr>
          <w:rFonts w:ascii="Times New Roman" w:eastAsia="Times New Roman" w:hAnsi="Times New Roman" w:cs="Times New Roman"/>
          <w:color w:val="000000"/>
          <w:sz w:val="24"/>
          <w:szCs w:val="24"/>
        </w:rPr>
      </w:pPr>
      <w:r w:rsidRPr="006741D9">
        <w:rPr>
          <w:rFonts w:ascii="Arial" w:eastAsia="Times New Roman" w:hAnsi="Arial" w:cs="Arial"/>
          <w:b/>
          <w:bCs/>
          <w:i/>
          <w:iCs/>
          <w:color w:val="000000"/>
          <w:sz w:val="20"/>
          <w:szCs w:val="20"/>
          <w:lang w:val="nl-NL"/>
        </w:rPr>
        <w:t> </w:t>
      </w:r>
    </w:p>
    <w:tbl>
      <w:tblPr>
        <w:tblW w:w="8755" w:type="dxa"/>
        <w:shd w:val="clear" w:color="auto" w:fill="FFFFFF"/>
        <w:tblCellMar>
          <w:left w:w="0" w:type="dxa"/>
          <w:right w:w="0" w:type="dxa"/>
        </w:tblCellMar>
        <w:tblLook w:val="04A0"/>
      </w:tblPr>
      <w:tblGrid>
        <w:gridCol w:w="5353"/>
        <w:gridCol w:w="3402"/>
      </w:tblGrid>
      <w:tr w:rsidR="006741D9" w:rsidRPr="006741D9" w:rsidTr="006741D9">
        <w:tc>
          <w:tcPr>
            <w:tcW w:w="5353" w:type="dxa"/>
            <w:shd w:val="clear" w:color="auto" w:fill="FFFFFF"/>
            <w:tcMar>
              <w:top w:w="0" w:type="dxa"/>
              <w:left w:w="108" w:type="dxa"/>
              <w:bottom w:w="0" w:type="dxa"/>
              <w:right w:w="108" w:type="dxa"/>
            </w:tcMar>
            <w:hideMark/>
          </w:tcPr>
          <w:p w:rsidR="006741D9" w:rsidRPr="006741D9" w:rsidRDefault="006741D9" w:rsidP="006741D9">
            <w:pPr>
              <w:spacing w:after="0" w:line="240" w:lineRule="auto"/>
              <w:jc w:val="both"/>
              <w:rPr>
                <w:rFonts w:ascii="Times New Roman" w:eastAsia="Times New Roman" w:hAnsi="Times New Roman" w:cs="Times New Roman"/>
                <w:color w:val="000000"/>
                <w:sz w:val="24"/>
                <w:szCs w:val="24"/>
              </w:rPr>
            </w:pPr>
            <w:r w:rsidRPr="006741D9">
              <w:rPr>
                <w:rFonts w:ascii="Arial" w:eastAsia="Times New Roman" w:hAnsi="Arial" w:cs="Arial"/>
                <w:b/>
                <w:bCs/>
                <w:i/>
                <w:iCs/>
                <w:color w:val="000000"/>
                <w:sz w:val="20"/>
                <w:szCs w:val="20"/>
                <w:lang w:val="nl-NL"/>
              </w:rPr>
              <w:t>Nơi nhận</w:t>
            </w:r>
            <w:r w:rsidRPr="006741D9">
              <w:rPr>
                <w:rFonts w:ascii="Arial" w:eastAsia="Times New Roman" w:hAnsi="Arial" w:cs="Arial"/>
                <w:i/>
                <w:iCs/>
                <w:color w:val="000000"/>
                <w:sz w:val="20"/>
                <w:szCs w:val="20"/>
                <w:lang w:val="nl-NL"/>
              </w:rPr>
              <w:t>:</w:t>
            </w:r>
          </w:p>
          <w:p w:rsidR="006741D9" w:rsidRPr="006741D9" w:rsidRDefault="006741D9" w:rsidP="006741D9">
            <w:pPr>
              <w:spacing w:before="100" w:beforeAutospacing="1" w:after="100" w:afterAutospacing="1" w:line="240" w:lineRule="auto"/>
              <w:rPr>
                <w:rFonts w:ascii="Arial" w:eastAsia="Times New Roman" w:hAnsi="Arial" w:cs="Arial"/>
                <w:color w:val="000000"/>
              </w:rPr>
            </w:pPr>
            <w:r w:rsidRPr="006741D9">
              <w:rPr>
                <w:rFonts w:ascii="Arial" w:eastAsia="Times New Roman" w:hAnsi="Arial" w:cs="Arial"/>
                <w:color w:val="000000"/>
                <w:sz w:val="20"/>
                <w:szCs w:val="20"/>
              </w:rPr>
              <w:t>-</w:t>
            </w:r>
            <w:r w:rsidRPr="006741D9">
              <w:rPr>
                <w:rFonts w:ascii="Arial" w:eastAsia="Times New Roman" w:hAnsi="Arial" w:cs="Arial"/>
                <w:color w:val="000000"/>
                <w:sz w:val="20"/>
              </w:rPr>
              <w:t> </w:t>
            </w:r>
            <w:r w:rsidRPr="006741D9">
              <w:rPr>
                <w:rFonts w:ascii="Arial" w:eastAsia="Times New Roman" w:hAnsi="Arial" w:cs="Arial"/>
                <w:color w:val="000000"/>
                <w:sz w:val="20"/>
                <w:szCs w:val="20"/>
                <w:lang w:val="nl-NL"/>
              </w:rPr>
              <w:t>Thủ tướng, các Phó Thủ tướng Chính phủ;</w:t>
            </w:r>
            <w:r w:rsidRPr="006741D9">
              <w:rPr>
                <w:rFonts w:ascii="Arial" w:eastAsia="Times New Roman" w:hAnsi="Arial" w:cs="Arial"/>
                <w:color w:val="000000"/>
                <w:sz w:val="20"/>
                <w:szCs w:val="20"/>
                <w:lang w:val="nl-NL"/>
              </w:rPr>
              <w:br/>
              <w:t>- Văn phòng Chính phủ;</w:t>
            </w:r>
            <w:r w:rsidRPr="006741D9">
              <w:rPr>
                <w:rFonts w:ascii="Arial" w:eastAsia="Times New Roman" w:hAnsi="Arial" w:cs="Arial"/>
                <w:color w:val="000000"/>
                <w:sz w:val="20"/>
                <w:szCs w:val="20"/>
                <w:lang w:val="nl-NL"/>
              </w:rPr>
              <w:br/>
              <w:t>- Văn phòng TW và các Ban của Đảng;</w:t>
            </w:r>
            <w:r w:rsidRPr="006741D9">
              <w:rPr>
                <w:rFonts w:ascii="Arial" w:eastAsia="Times New Roman" w:hAnsi="Arial" w:cs="Arial"/>
                <w:color w:val="000000"/>
                <w:sz w:val="20"/>
                <w:szCs w:val="20"/>
                <w:lang w:val="nl-NL"/>
              </w:rPr>
              <w:br/>
              <w:t>- Văn phòng Tổng Bí Thư;</w:t>
            </w:r>
            <w:r w:rsidRPr="006741D9">
              <w:rPr>
                <w:rFonts w:ascii="Arial" w:eastAsia="Times New Roman" w:hAnsi="Arial" w:cs="Arial"/>
                <w:color w:val="000000"/>
                <w:sz w:val="20"/>
                <w:szCs w:val="20"/>
                <w:lang w:val="nl-NL"/>
              </w:rPr>
              <w:br/>
              <w:t>- Văn phòng Quốc hội;</w:t>
            </w:r>
            <w:r w:rsidRPr="006741D9">
              <w:rPr>
                <w:rFonts w:ascii="Arial" w:eastAsia="Times New Roman" w:hAnsi="Arial" w:cs="Arial"/>
                <w:color w:val="000000"/>
                <w:sz w:val="20"/>
                <w:szCs w:val="20"/>
                <w:lang w:val="nl-NL"/>
              </w:rPr>
              <w:br/>
              <w:t>- Văn phòng Chủ tịch nước;</w:t>
            </w:r>
            <w:r w:rsidRPr="006741D9">
              <w:rPr>
                <w:rFonts w:ascii="Arial" w:eastAsia="Times New Roman" w:hAnsi="Arial" w:cs="Arial"/>
                <w:color w:val="000000"/>
                <w:sz w:val="20"/>
                <w:szCs w:val="20"/>
                <w:lang w:val="nl-NL"/>
              </w:rPr>
              <w:br/>
              <w:t>- Viện Kiểm sát nhân dân tối cao;</w:t>
            </w:r>
            <w:r w:rsidRPr="006741D9">
              <w:rPr>
                <w:rFonts w:ascii="Arial" w:eastAsia="Times New Roman" w:hAnsi="Arial" w:cs="Arial"/>
                <w:color w:val="000000"/>
                <w:sz w:val="20"/>
                <w:szCs w:val="20"/>
                <w:lang w:val="nl-NL"/>
              </w:rPr>
              <w:br/>
              <w:t>- Tòa án nhân dân tối cao;</w:t>
            </w:r>
            <w:r w:rsidRPr="006741D9">
              <w:rPr>
                <w:rFonts w:ascii="Arial" w:eastAsia="Times New Roman" w:hAnsi="Arial" w:cs="Arial"/>
                <w:color w:val="000000"/>
                <w:sz w:val="20"/>
                <w:szCs w:val="20"/>
                <w:lang w:val="nl-NL"/>
              </w:rPr>
              <w:br/>
              <w:t>- Ban chỉ đạo TW về phòng chống tham nhũng;</w:t>
            </w:r>
            <w:r w:rsidRPr="006741D9">
              <w:rPr>
                <w:rFonts w:ascii="Arial" w:eastAsia="Times New Roman" w:hAnsi="Arial" w:cs="Arial"/>
                <w:color w:val="000000"/>
                <w:sz w:val="20"/>
                <w:szCs w:val="20"/>
                <w:lang w:val="nl-NL"/>
              </w:rPr>
              <w:br/>
              <w:t>- Kiểm toán nhà nước;</w:t>
            </w:r>
            <w:r w:rsidRPr="006741D9">
              <w:rPr>
                <w:rFonts w:ascii="Arial" w:eastAsia="Times New Roman" w:hAnsi="Arial" w:cs="Arial"/>
                <w:color w:val="000000"/>
                <w:sz w:val="20"/>
                <w:szCs w:val="20"/>
                <w:lang w:val="nl-NL"/>
              </w:rPr>
              <w:br/>
              <w:t>- Các Bộ, cơ quan ngang Bộ, cơ quan thuộc Chính phủ;</w:t>
            </w:r>
            <w:r w:rsidRPr="006741D9">
              <w:rPr>
                <w:rFonts w:ascii="Arial" w:eastAsia="Times New Roman" w:hAnsi="Arial" w:cs="Arial"/>
                <w:color w:val="000000"/>
                <w:sz w:val="20"/>
                <w:szCs w:val="20"/>
                <w:lang w:val="nl-NL"/>
              </w:rPr>
              <w:br/>
              <w:t>- Cơ quan TW các đoàn thể;</w:t>
            </w:r>
            <w:r w:rsidRPr="006741D9">
              <w:rPr>
                <w:rFonts w:ascii="Arial" w:eastAsia="Times New Roman" w:hAnsi="Arial" w:cs="Arial"/>
                <w:color w:val="000000"/>
                <w:sz w:val="20"/>
                <w:szCs w:val="20"/>
                <w:lang w:val="nl-NL"/>
              </w:rPr>
              <w:br/>
              <w:t>- UBND các tỉnh, thành phố trực thuộc TW;</w:t>
            </w:r>
            <w:r w:rsidRPr="006741D9">
              <w:rPr>
                <w:rFonts w:ascii="Arial" w:eastAsia="Times New Roman" w:hAnsi="Arial" w:cs="Arial"/>
                <w:color w:val="000000"/>
                <w:sz w:val="20"/>
                <w:szCs w:val="20"/>
                <w:lang w:val="nl-NL"/>
              </w:rPr>
              <w:br/>
              <w:t>- Công báo;</w:t>
            </w:r>
            <w:r w:rsidRPr="006741D9">
              <w:rPr>
                <w:rFonts w:ascii="Arial" w:eastAsia="Times New Roman" w:hAnsi="Arial" w:cs="Arial"/>
                <w:color w:val="000000"/>
                <w:sz w:val="20"/>
                <w:szCs w:val="20"/>
                <w:lang w:val="nl-NL"/>
              </w:rPr>
              <w:br/>
              <w:t>- Cục Kiểm tra văn bản (Bộ Tư pháp);</w:t>
            </w:r>
            <w:r w:rsidRPr="006741D9">
              <w:rPr>
                <w:rFonts w:ascii="Arial" w:eastAsia="Times New Roman" w:hAnsi="Arial" w:cs="Arial"/>
                <w:color w:val="000000"/>
                <w:sz w:val="20"/>
                <w:szCs w:val="20"/>
                <w:lang w:val="nl-NL"/>
              </w:rPr>
              <w:br/>
              <w:t>- Sở Tài chính, Cục Thuế, Kho bạc Nhà nước các tỉnh, thành phố trực thuộc TW;</w:t>
            </w:r>
            <w:r w:rsidRPr="006741D9">
              <w:rPr>
                <w:rFonts w:ascii="Arial" w:eastAsia="Times New Roman" w:hAnsi="Arial" w:cs="Arial"/>
                <w:color w:val="000000"/>
                <w:sz w:val="20"/>
                <w:szCs w:val="20"/>
                <w:lang w:val="nl-NL"/>
              </w:rPr>
              <w:br/>
              <w:t>- Các Tập đoàn kinh tế;</w:t>
            </w:r>
            <w:r w:rsidRPr="006741D9">
              <w:rPr>
                <w:rFonts w:ascii="Arial" w:eastAsia="Times New Roman" w:hAnsi="Arial" w:cs="Arial"/>
                <w:color w:val="000000"/>
                <w:sz w:val="20"/>
                <w:szCs w:val="20"/>
                <w:lang w:val="nl-NL"/>
              </w:rPr>
              <w:br/>
              <w:t>- Các Tổng công ty nhà nước;</w:t>
            </w:r>
            <w:r w:rsidRPr="006741D9">
              <w:rPr>
                <w:rFonts w:ascii="Arial" w:eastAsia="Times New Roman" w:hAnsi="Arial" w:cs="Arial"/>
                <w:color w:val="000000"/>
                <w:sz w:val="20"/>
                <w:szCs w:val="20"/>
                <w:lang w:val="nl-NL"/>
              </w:rPr>
              <w:br/>
              <w:t>- Website Chính phủ;</w:t>
            </w:r>
            <w:r w:rsidRPr="006741D9">
              <w:rPr>
                <w:rFonts w:ascii="Arial" w:eastAsia="Times New Roman" w:hAnsi="Arial" w:cs="Arial"/>
                <w:color w:val="000000"/>
                <w:sz w:val="20"/>
                <w:szCs w:val="20"/>
                <w:lang w:val="nl-NL"/>
              </w:rPr>
              <w:br/>
              <w:t>- Website Bộ Tài chính;</w:t>
            </w:r>
            <w:r w:rsidRPr="006741D9">
              <w:rPr>
                <w:rFonts w:ascii="Arial" w:eastAsia="Times New Roman" w:hAnsi="Arial" w:cs="Arial"/>
                <w:color w:val="000000"/>
                <w:sz w:val="20"/>
                <w:szCs w:val="20"/>
                <w:lang w:val="nl-NL"/>
              </w:rPr>
              <w:br/>
              <w:t>- Các đơn vị thuộc Bộ Tài chính;</w:t>
            </w:r>
            <w:r w:rsidRPr="006741D9">
              <w:rPr>
                <w:rFonts w:ascii="Arial" w:eastAsia="Times New Roman" w:hAnsi="Arial" w:cs="Arial"/>
                <w:color w:val="000000"/>
                <w:sz w:val="20"/>
                <w:szCs w:val="20"/>
                <w:lang w:val="nl-NL"/>
              </w:rPr>
              <w:br/>
              <w:t>- Lưu: VT, Cục TCDN.</w:t>
            </w:r>
          </w:p>
        </w:tc>
        <w:tc>
          <w:tcPr>
            <w:tcW w:w="3402" w:type="dxa"/>
            <w:shd w:val="clear" w:color="auto" w:fill="FFFFFF"/>
            <w:tcMar>
              <w:top w:w="0" w:type="dxa"/>
              <w:left w:w="108" w:type="dxa"/>
              <w:bottom w:w="0" w:type="dxa"/>
              <w:right w:w="108" w:type="dxa"/>
            </w:tcMar>
            <w:hideMark/>
          </w:tcPr>
          <w:p w:rsidR="006741D9" w:rsidRPr="006741D9" w:rsidRDefault="006741D9" w:rsidP="006741D9">
            <w:pPr>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KT. BỘ TRƯỞNG</w:t>
            </w:r>
          </w:p>
          <w:p w:rsidR="006741D9" w:rsidRPr="006741D9" w:rsidRDefault="006741D9" w:rsidP="006741D9">
            <w:pPr>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THỨ TRƯỞNG</w:t>
            </w:r>
          </w:p>
          <w:p w:rsidR="006741D9" w:rsidRPr="006741D9" w:rsidRDefault="006741D9" w:rsidP="006741D9">
            <w:pPr>
              <w:keepNext/>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w:t>
            </w:r>
          </w:p>
          <w:p w:rsidR="006741D9" w:rsidRPr="006741D9" w:rsidRDefault="006741D9" w:rsidP="006741D9">
            <w:pPr>
              <w:keepNext/>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w:t>
            </w:r>
          </w:p>
          <w:p w:rsidR="006741D9" w:rsidRPr="006741D9" w:rsidRDefault="006741D9" w:rsidP="006741D9">
            <w:pPr>
              <w:keepNext/>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w:t>
            </w:r>
          </w:p>
          <w:p w:rsidR="006741D9" w:rsidRPr="006741D9" w:rsidRDefault="006741D9" w:rsidP="006741D9">
            <w:pPr>
              <w:keepNext/>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w:t>
            </w:r>
          </w:p>
          <w:p w:rsidR="006741D9" w:rsidRPr="006741D9" w:rsidRDefault="006741D9" w:rsidP="006741D9">
            <w:pPr>
              <w:keepNext/>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w:t>
            </w:r>
          </w:p>
          <w:p w:rsidR="006741D9" w:rsidRPr="006741D9" w:rsidRDefault="006741D9" w:rsidP="006741D9">
            <w:pPr>
              <w:keepNext/>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 </w:t>
            </w:r>
          </w:p>
          <w:p w:rsidR="006741D9" w:rsidRPr="006741D9" w:rsidRDefault="006741D9" w:rsidP="006741D9">
            <w:pPr>
              <w:spacing w:after="0" w:line="240" w:lineRule="auto"/>
              <w:jc w:val="center"/>
              <w:rPr>
                <w:rFonts w:ascii="Times New Roman" w:eastAsia="Times New Roman" w:hAnsi="Times New Roman" w:cs="Times New Roman"/>
                <w:color w:val="000000"/>
                <w:sz w:val="24"/>
                <w:szCs w:val="24"/>
              </w:rPr>
            </w:pPr>
            <w:r w:rsidRPr="006741D9">
              <w:rPr>
                <w:rFonts w:ascii="Arial" w:eastAsia="Times New Roman" w:hAnsi="Arial" w:cs="Arial"/>
                <w:b/>
                <w:bCs/>
                <w:color w:val="000000"/>
                <w:sz w:val="20"/>
                <w:szCs w:val="20"/>
                <w:lang w:val="nl-NL"/>
              </w:rPr>
              <w:t>Trần Văn Hiếu</w:t>
            </w:r>
          </w:p>
        </w:tc>
      </w:tr>
    </w:tbl>
    <w:p w:rsidR="00713171" w:rsidRPr="006741D9" w:rsidRDefault="00713171">
      <w:pPr>
        <w:rPr>
          <w:rFonts w:ascii="Times New Roman" w:hAnsi="Times New Roman" w:cs="Times New Roman"/>
        </w:rPr>
      </w:pPr>
    </w:p>
    <w:sectPr w:rsidR="00713171" w:rsidRPr="006741D9" w:rsidSect="007131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6741D9"/>
    <w:rsid w:val="006741D9"/>
    <w:rsid w:val="007131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171"/>
  </w:style>
  <w:style w:type="paragraph" w:styleId="Heading1">
    <w:name w:val="heading 1"/>
    <w:basedOn w:val="Normal"/>
    <w:link w:val="Heading1Char"/>
    <w:uiPriority w:val="9"/>
    <w:qFormat/>
    <w:rsid w:val="006741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741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741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1D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741D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741D9"/>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6741D9"/>
  </w:style>
  <w:style w:type="paragraph" w:styleId="ListParagraph">
    <w:name w:val="List Paragraph"/>
    <w:basedOn w:val="Normal"/>
    <w:uiPriority w:val="34"/>
    <w:qFormat/>
    <w:rsid w:val="006741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630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QY5UZ4ZQWDMN-2102554853-149</_dlc_DocId>
    <_dlc_DocIdUrl xmlns="df6cab6d-25a5-4a45-89de-f19c5af208b6">
      <Url>http://10.174.253.232:8814/_layouts/15/DocIdRedir.aspx?ID=QY5UZ4ZQWDMN-2102554853-149</Url>
      <Description>QY5UZ4ZQWDMN-2102554853-149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ff690de-edd6-46e1-93df-5af5ff458831">YTZ6ZUKS5PF6-1-378</_dlc_DocId>
    <_dlc_DocIdUrl xmlns="8ff690de-edd6-46e1-93df-5af5ff458831">
      <Url>http://srvr-web1:1251/_layouts/DocIdRedir.aspx?ID=YTZ6ZUKS5PF6-1-378</Url>
      <Description>YTZ6ZUKS5PF6-1-378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DC9BB64-6ABF-4397-AFAB-4F84902B4B3B}"/>
</file>

<file path=customXml/itemProps2.xml><?xml version="1.0" encoding="utf-8"?>
<ds:datastoreItem xmlns:ds="http://schemas.openxmlformats.org/officeDocument/2006/customXml" ds:itemID="{A778CBB9-D9D9-42FD-86DA-90300E3F1494}"/>
</file>

<file path=customXml/itemProps3.xml><?xml version="1.0" encoding="utf-8"?>
<ds:datastoreItem xmlns:ds="http://schemas.openxmlformats.org/officeDocument/2006/customXml" ds:itemID="{8DBE0F7B-7C31-430D-93A8-211F606A0453}"/>
</file>

<file path=customXml/itemProps4.xml><?xml version="1.0" encoding="utf-8"?>
<ds:datastoreItem xmlns:ds="http://schemas.openxmlformats.org/officeDocument/2006/customXml" ds:itemID="{A778CBB9-D9D9-42FD-86DA-90300E3F1494}"/>
</file>

<file path=customXml/itemProps5.xml><?xml version="1.0" encoding="utf-8"?>
<ds:datastoreItem xmlns:ds="http://schemas.openxmlformats.org/officeDocument/2006/customXml" ds:itemID="{C3E5B9C3-7615-4E47-9A0B-011A52F3E320}"/>
</file>

<file path=docProps/app.xml><?xml version="1.0" encoding="utf-8"?>
<Properties xmlns="http://schemas.openxmlformats.org/officeDocument/2006/extended-properties" xmlns:vt="http://schemas.openxmlformats.org/officeDocument/2006/docPropsVTypes">
  <Template>Normal</Template>
  <TotalTime>2</TotalTime>
  <Pages>6</Pages>
  <Words>2202</Words>
  <Characters>12557</Characters>
  <Application>Microsoft Office Word</Application>
  <DocSecurity>0</DocSecurity>
  <Lines>104</Lines>
  <Paragraphs>29</Paragraphs>
  <ScaleCrop>false</ScaleCrop>
  <Company/>
  <LinksUpToDate>false</LinksUpToDate>
  <CharactersWithSpaces>14730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cp:revision>
  <dcterms:created xsi:type="dcterms:W3CDTF">2015-05-28T10:01:00Z</dcterms:created>
  <dcterms:modified xsi:type="dcterms:W3CDTF">2015-05-28T10:03:00Z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fa865084-8d1b-4169-854f-a5f8c8d3e769</vt:lpwstr>
  </property>
</Properties>
</file>